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Изменения к Проектной декларации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строительство: Многоквартирный жилой дом с пристроенной котельной, расположенный по адресу: Брянская область, г. Брянск, Советский район, СО Тюльпан от 31 декабря 2016г.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783"/>
        <w:gridCol w:w="4783"/>
      </w:tblGrid>
      <w:tr>
        <w:trPr>
          <w:cantSplit w:val="false"/>
        </w:trPr>
        <w:tc>
          <w:tcPr>
            <w:tcW w:w="9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Бухгалтерский баланс на 3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декабря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2016г.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ВНЕОБОРОТНЫЕ АКТИВЫ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Нематериальные активы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Основные средства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u w:val="none"/>
                <w:em w:val="none"/>
              </w:rPr>
              <w:t>381 763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Незавершенное строительство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Основные средства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Приобретение земельных участков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Оборудование к установке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373 344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246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5 980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2 193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по разделу </w:t>
            </w:r>
            <w:r>
              <w:rPr>
                <w:rFonts w:cs="Times New Roman" w:ascii="Times New Roman" w:hAnsi="Times New Roman"/>
                <w:lang w:val="en-US"/>
              </w:rPr>
              <w:t>I</w:t>
            </w:r>
            <w:r>
              <w:rPr>
                <w:rFonts w:cs="Times New Roman" w:ascii="Times New Roman" w:hAnsi="Times New Roman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381 763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ОБОРОТНЫЕ АКТИВЫ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Запасы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4 166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Налог на добавленную стоимость по приобретенным ценностям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1 131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Дебиторская задолженность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19 857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 том числе: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обязательствам перед дольщиками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обязательствам перед поставщикам и подрядчикам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</w:t>
            </w:r>
            <w:r>
              <w:rPr>
                <w:rFonts w:cs="Times New Roman" w:ascii="Times New Roman" w:hAnsi="Times New Roman"/>
              </w:rPr>
              <w:t>3 582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13 537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Финансовые вложения (за исключением денежных эквивалентов)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23 400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Денежные средства и денежные эквиваленты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</w:t>
            </w:r>
            <w:r>
              <w:rPr>
                <w:rFonts w:cs="Times New Roman" w:ascii="Times New Roman" w:hAnsi="Times New Roman"/>
              </w:rPr>
              <w:t>63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Прочие оборотные активы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2 320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по разделу </w:t>
            </w:r>
            <w:r>
              <w:rPr>
                <w:rFonts w:cs="Times New Roman" w:ascii="Times New Roman" w:hAnsi="Times New Roman"/>
                <w:lang w:val="en-US"/>
              </w:rPr>
              <w:t>II</w:t>
            </w:r>
            <w:r>
              <w:rPr>
                <w:rFonts w:cs="Times New Roman" w:ascii="Times New Roman" w:hAnsi="Times New Roman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50 936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БАЛАНС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432 699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КАПИТАЛ И РЕЗЕРВЫ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Уставной капитал (складочный капитал, уставной фонд, вклады товарищей)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Нераспределенная прибыль (непокрытый убыток)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24 583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по разделу </w:t>
            </w:r>
            <w:r>
              <w:rPr>
                <w:rFonts w:cs="Times New Roman" w:ascii="Times New Roman" w:hAnsi="Times New Roman"/>
                <w:lang w:val="en-US"/>
              </w:rPr>
              <w:t>III</w:t>
            </w:r>
            <w:r>
              <w:rPr>
                <w:rFonts w:cs="Times New Roman" w:ascii="Times New Roman" w:hAnsi="Times New Roman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24 593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ДОЛГОСРОЧНЫЕ ОБЯЗАТЕЛЬСТВА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Заемные средства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10 128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по разделу </w:t>
            </w:r>
            <w:r>
              <w:rPr>
                <w:rFonts w:cs="Times New Roman" w:ascii="Times New Roman" w:hAnsi="Times New Roman"/>
                <w:lang w:val="en-US"/>
              </w:rPr>
              <w:t>IV</w:t>
            </w:r>
            <w:r>
              <w:rPr>
                <w:rFonts w:cs="Times New Roman" w:ascii="Times New Roman" w:hAnsi="Times New Roman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10 128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contextualSpacing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КРАТКОСРОЧНЫЕ ОБЯЗАТЕЛЬСТВА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Заемные средства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</w:t>
            </w:r>
            <w:r>
              <w:rPr>
                <w:rFonts w:cs="Times New Roman" w:ascii="Times New Roman" w:hAnsi="Times New Roman"/>
              </w:rPr>
              <w:t>7 348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Кредиторская задолженность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390 630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обязательствам перед дольщиками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обязательствам перед поставщиками и подрядчиками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обязательствам перед бюджетом и внебюджетными фондами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289 486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100 973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>170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Итого по разделу </w:t>
            </w:r>
            <w:r>
              <w:rPr>
                <w:rFonts w:cs="Times New Roman" w:ascii="Times New Roman" w:hAnsi="Times New Roman"/>
                <w:lang w:val="en-US"/>
              </w:rPr>
              <w:t>V</w:t>
            </w:r>
            <w:r>
              <w:rPr>
                <w:rFonts w:cs="Times New Roman" w:ascii="Times New Roman" w:hAnsi="Times New Roman"/>
              </w:rPr>
              <w:t>: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397 977</w:t>
            </w:r>
          </w:p>
        </w:tc>
      </w:tr>
      <w:tr>
        <w:trPr>
          <w:cantSplit w:val="false"/>
        </w:trPr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БАЛАНС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432 699</w:t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  Хайкин В.Л.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80a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59702b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702b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2014-08-05T04:44:00Z</dcterms:created>
  <dc:creator>Smetchik</dc:creator>
  <dc:language>ru-RU</dc:language>
  <cp:lastModifiedBy>Сметчик</cp:lastModifiedBy>
  <dcterms:modified xsi:type="dcterms:W3CDTF">2016-07-26T11:36:00Z</dcterms:modified>
  <cp:revision>21</cp:revision>
</cp:coreProperties>
</file>